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D1C" w:rsidRDefault="00E83F76">
      <w:pPr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Предложения МЧС России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,</w:t>
      </w:r>
    </w:p>
    <w:p w:rsidR="00B45D1C" w:rsidRDefault="00E83F76">
      <w:pPr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направленные на повышение качества организации деятельности нормативно-технических советов Главных управлений МЧС России </w:t>
      </w:r>
    </w:p>
    <w:p w:rsidR="00B45D1C" w:rsidRDefault="00E83F76">
      <w:pPr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по субъектам Российской Федерации</w:t>
      </w:r>
    </w:p>
    <w:p w:rsidR="00B45D1C" w:rsidRDefault="00B45D1C">
      <w:pPr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45D1C" w:rsidRDefault="00E83F76">
      <w:pPr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1. Разработка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единых специальных технических условий по обеспечению пожарной безопасности (далее – СТУ) на несколько объектов защиты (жилых домов, гостиничных корпусов и т.п.), не объединенных общими объемно-планировочными решениями, технологическими связями, линиями (д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ля объектов защиты класса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функциональной пожарной опасности Ф5), а находящихся лишь в одном кластере (пятне застройки), не допускается.</w:t>
      </w:r>
    </w:p>
    <w:p w:rsidR="00B45D1C" w:rsidRDefault="00E83F76">
      <w:pPr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2. Снятие через СТУ систем противопожарной защиты объектов защиты не допускается, за исключением объектов производственн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ого и складского назначения, на основании подтверждения расчетом пожарного риска и при наличии достоверных исходных данных, но не более одной системы для каждого конкретного объекта защиты.</w:t>
      </w:r>
    </w:p>
    <w:p w:rsidR="00B45D1C" w:rsidRDefault="00E83F76">
      <w:pPr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3. В СТУ не допускается предусматривать положения, устанавливающие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возможность подключения автоматической спринклерной установки пожаротушения (далее – АУП) к системам внутреннего противопожарного водопровода (далее – ВПВ), а именно запитка АУП от ВПВ.</w:t>
      </w:r>
    </w:p>
    <w:p w:rsidR="00B45D1C" w:rsidRDefault="00E83F76">
      <w:pPr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4. В положениях СТУ при определении высоты межэтажного пояса не допус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кается измерение такого расстояния, повторяя контур (огибая) вертикальных и горизонтальных участков строительных конструкций. </w:t>
      </w:r>
    </w:p>
    <w:p w:rsidR="00B45D1C" w:rsidRDefault="00E83F76">
      <w:pPr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При этом допускается применение следующих технических решений:</w:t>
      </w:r>
    </w:p>
    <w:p w:rsidR="00B45D1C" w:rsidRDefault="00E83F76">
      <w:pPr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«При выполнении междуэтажных поясов высотой менее 1,2 м в местах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римыкания к перекрытиям следует предусмотреть устройство в уровне междуэтажных перекрытий горизонтальных глухих выступов (выступов стен, балконов, перекрытий и т.д.) из негорючих материалов в сочетании с междуэтажными поясами. Сумма размеров горизонтальной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проекции выступа и вертикальной проекции междуэтажного пояса должна быть не менее 1,2 м».</w:t>
      </w:r>
    </w:p>
    <w:p w:rsidR="00B45D1C" w:rsidRDefault="00E83F76">
      <w:pPr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Кроме того, допускается применение в местах сокращения нормативной высоты междуэтажных поясов остекления с соответствующим пределом огнестойкости, а также защиты так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их участков наружных ограждающих конструкций АУП с обеспечением требуемых параметров при выполнении высоты таких участков не менее 1,2 м.</w:t>
      </w:r>
    </w:p>
    <w:p w:rsidR="00B45D1C" w:rsidRDefault="00E83F76">
      <w:pPr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5. В случае отсутствия аварийных выходов в квартирах выше 15 м система оповещения и управления эвакуацией людей при по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жаре в здании должна предусматриваться не ниже 3-го типа, система автоматической пожарной сигнализации должна предусматриваться с извещателями в коридорах квартир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автономными извещателями, размещенными во всех помещениях квартиры, кроме ванных комнат (ба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нь), санузлов, кладовых.</w:t>
      </w:r>
    </w:p>
    <w:p w:rsidR="00B45D1C" w:rsidRDefault="00E83F76">
      <w:pPr>
        <w:ind w:firstLine="85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6. В случае отсутствия аварийных выходов в квартирах выше 15 м пути эвакуации (общие внеквартирные коридоры) надземных этажей должны отделяться от смежных помещений ограждающими конструкциями с пределом огнестойкости не менее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60, класса пожарной опасности К0, с заполнением проемов противопожарными дверями 2-го типа. Заполнение проемов допускается предусматривать с ненормированным пределом огнестойкости при их оборудовании со стороны путей эвакуации дополнительно установленны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 спринклерами АУП, установленными на расстоянии не более 0,5 м от верхней границы защищаемого проема с шагом 1,5 м между соседними оросителями вдоль ширины проема, но не менее одного на проем, с интенсивностью орошения не менее 0,08 л/с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45D1C" w:rsidRDefault="00E83F76">
      <w:pPr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В случае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замены незадымляемой лестничной клетки типа Н1 на тип Н2 с устройством поэтажных вхо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дов в неё через тамбур-шлюзы с подпором воздуха при пожаре, система автоматической пожарной сигнализации должна предус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матриваться с извещателями во всех помещениях квартир,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 ванных комнат (бань), санузлов, кладовых.</w:t>
      </w:r>
    </w:p>
    <w:p w:rsidR="00B45D1C" w:rsidRDefault="00E83F76">
      <w:pPr>
        <w:ind w:firstLine="85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В случае отсутствия тамбур-шлюза при выходе из незадымляемых лестничных клеток типа Н2 в вестибюль (фойе, холл) допускается предусматривать противопожарные двери 1-го типа в дымогазонепроницаемом исполнен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ии. При этом при определении расхода воздуха, подаваемого системой приточной противодымной вентиляции в указанные лестничные клетки, следует учитывать одновременное открытое положение дверных проемов на этаже с очагом пожара и одного из выходов: вестибюль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(фойе, холл) либо наружу (при наличии), принимая при этом большее из полученных значений.</w:t>
      </w:r>
    </w:p>
    <w:p w:rsidR="00B45D1C" w:rsidRDefault="00E83F76">
      <w:pPr>
        <w:ind w:firstLine="85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 Положениями СТУ снятие лифтов для транспортировки подразделений пожарной охраны не допускается.</w:t>
      </w:r>
    </w:p>
    <w:p w:rsidR="00B45D1C" w:rsidRDefault="00E83F76">
      <w:pPr>
        <w:ind w:firstLine="85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 Не допускать согласование СТУ, содержащих вопросы обеспечения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езопасности внутридомового газового оборудования и внутриквартирного газового оборудования.</w:t>
      </w:r>
    </w:p>
    <w:p w:rsidR="00B45D1C" w:rsidRDefault="00E83F76">
      <w:pPr>
        <w:ind w:firstLine="85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 В составе СТУ не допускается наличие ссылок на нормативные документы, не относящиеся к компетенции МЧС России (нормативные документы в области строительства и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.п.).</w:t>
      </w:r>
    </w:p>
    <w:p w:rsidR="00B45D1C" w:rsidRDefault="00E83F76">
      <w:pPr>
        <w:ind w:firstLine="85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 Не допускается рассмотрение СТУ, основанием для разработки которых являются технические решения, содержащиеся в нормативных документах по пожарной безопасности.</w:t>
      </w:r>
    </w:p>
    <w:p w:rsidR="00B45D1C" w:rsidRDefault="00E83F76">
      <w:pPr>
        <w:ind w:firstLine="85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 При наличии отступлений от требований нормативных документов по пожарной безопасн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ости, подтверждение обеспечения соответствия объекта защиты при которых не может быть в полном объеме подтверждено расчетом пожарного риска, в таком случае к СТУ должны быть приложены и иные расчётные обоснования. Например, расчет тепловых потоков при сокр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ащении противопожарных расстояний, документов предварительного планирования действий пожарных подразделений –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наличии отступлений в части организации работы пожарных подразделений и т.п.</w:t>
      </w:r>
    </w:p>
    <w:p w:rsidR="00B45D1C" w:rsidRDefault="00E83F76">
      <w:pPr>
        <w:ind w:firstLine="85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во всех случаях при наличии отступлений от 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нормативных документов по пожарной безопасности к СТУ должен прилагаться расчет пожарного риска.</w:t>
      </w:r>
    </w:p>
    <w:p w:rsidR="00B45D1C" w:rsidRDefault="00E83F76">
      <w:pPr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 При рассмотрении СТУ не допускается предъявлять избыточные требования, не предусмотренн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ые аналогичными решениями, ранее согласованными главным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государственным инспектором Российской Федерации по пожарному надзору или одним из его заместителей (расчет самотяги дымохода, расчет сохранения несущей способности конструктивных элементов здания и т.п.).</w:t>
      </w:r>
    </w:p>
    <w:p w:rsidR="00B45D1C" w:rsidRDefault="00B45D1C">
      <w:pPr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45D1C" w:rsidRDefault="00B45D1C">
      <w:pPr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45D1C" w:rsidRDefault="00B45D1C">
      <w:pPr>
        <w:ind w:firstLine="851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45D1C" w:rsidRDefault="00B45D1C">
      <w:pPr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sectPr w:rsidR="00B45D1C">
      <w:headerReference w:type="default" r:id="rId6"/>
      <w:pgSz w:w="11906" w:h="16838"/>
      <w:pgMar w:top="1134" w:right="850" w:bottom="1134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83F76">
      <w:r>
        <w:separator/>
      </w:r>
    </w:p>
  </w:endnote>
  <w:endnote w:type="continuationSeparator" w:id="0">
    <w:p w:rsidR="00000000" w:rsidRDefault="00E8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83F76">
      <w:r>
        <w:separator/>
      </w:r>
    </w:p>
  </w:footnote>
  <w:footnote w:type="continuationSeparator" w:id="0">
    <w:p w:rsidR="00000000" w:rsidRDefault="00E83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391596"/>
      <w:docPartObj>
        <w:docPartGallery w:val="Page Numbers (Top of Page)"/>
        <w:docPartUnique/>
      </w:docPartObj>
    </w:sdtPr>
    <w:sdtEndPr/>
    <w:sdtContent>
      <w:p w:rsidR="00B45D1C" w:rsidRDefault="00E83F76">
        <w:pPr>
          <w:pStyle w:val="a5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45D1C" w:rsidRDefault="00B45D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1C"/>
    <w:rsid w:val="00B45D1C"/>
    <w:rsid w:val="00E8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28FC"/>
  <w15:docId w15:val="{AFBBDA3D-AD59-43AE-AEDE-F22724A7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855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944B62"/>
  </w:style>
  <w:style w:type="character" w:customStyle="1" w:styleId="a6">
    <w:name w:val="Нижний колонтитул Знак"/>
    <w:basedOn w:val="a0"/>
    <w:link w:val="a7"/>
    <w:uiPriority w:val="99"/>
    <w:qFormat/>
    <w:rsid w:val="00944B62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List Paragraph"/>
    <w:basedOn w:val="a"/>
    <w:uiPriority w:val="34"/>
    <w:qFormat/>
    <w:rsid w:val="005E73D7"/>
    <w:pPr>
      <w:ind w:left="720"/>
      <w:contextualSpacing/>
    </w:pPr>
  </w:style>
  <w:style w:type="paragraph" w:customStyle="1" w:styleId="ae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944B62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unhideWhenUsed/>
    <w:rsid w:val="00944B6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4433</TotalTime>
  <Pages>3</Pages>
  <Words>861</Words>
  <Characters>4908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cp:lastModifiedBy>Андрей Архипов</cp:lastModifiedBy>
  <cp:revision>17</cp:revision>
  <dcterms:created xsi:type="dcterms:W3CDTF">2023-12-14T07:00:00Z</dcterms:created>
  <dcterms:modified xsi:type="dcterms:W3CDTF">2024-04-10T05:23:00Z</dcterms:modified>
  <dc:language>ru-RU</dc:language>
</cp:coreProperties>
</file>